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7B" w:rsidRPr="00824D7B" w:rsidRDefault="00824D7B" w:rsidP="00824D7B">
      <w:pPr>
        <w:rPr>
          <w:rFonts w:ascii="Arial" w:hAnsi="Arial" w:cs="Arial"/>
          <w:b/>
          <w:sz w:val="22"/>
          <w:szCs w:val="22"/>
        </w:rPr>
      </w:pPr>
      <w:r w:rsidRPr="00824D7B">
        <w:rPr>
          <w:rFonts w:ascii="Arial" w:hAnsi="Arial" w:cs="Arial"/>
          <w:b/>
          <w:sz w:val="22"/>
          <w:szCs w:val="22"/>
        </w:rPr>
        <w:t>LEI MUNICIPAL Nº. 1273/2022.</w:t>
      </w:r>
    </w:p>
    <w:p w:rsidR="00824D7B" w:rsidRPr="00753DDD" w:rsidRDefault="00824D7B" w:rsidP="00824D7B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824D7B" w:rsidRPr="00753DDD" w:rsidRDefault="00824D7B" w:rsidP="00824D7B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>: Autoriza a suplementação orçamentária pelo superávit financeiro apurado no balanço patrimonial do exercício anterior, e dá outras providências.</w:t>
      </w:r>
    </w:p>
    <w:p w:rsidR="00824D7B" w:rsidRPr="00753DDD" w:rsidRDefault="00824D7B" w:rsidP="00824D7B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bookmarkStart w:id="0" w:name="_GoBack"/>
      <w:bookmarkEnd w:id="0"/>
    </w:p>
    <w:p w:rsidR="00824D7B" w:rsidRPr="00753DDD" w:rsidRDefault="00824D7B" w:rsidP="00824D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  <w:sz w:val="22"/>
          <w:szCs w:val="22"/>
        </w:rPr>
        <w:t>faz saber que a Câmara de Vereadores aprovou e Ele sanciona e promulga a seguinte Lei:</w:t>
      </w:r>
    </w:p>
    <w:p w:rsidR="00824D7B" w:rsidRPr="00753DDD" w:rsidRDefault="00824D7B" w:rsidP="00824D7B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213A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6A213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67056189"/>
      <w:r w:rsidRPr="006A213A">
        <w:rPr>
          <w:rFonts w:ascii="Arial" w:hAnsi="Arial" w:cs="Arial"/>
          <w:color w:val="000000" w:themeColor="text1"/>
          <w:sz w:val="22"/>
          <w:szCs w:val="22"/>
        </w:rPr>
        <w:t>Fica autorizado</w:t>
      </w:r>
      <w:r w:rsidRPr="006A213A">
        <w:rPr>
          <w:rFonts w:ascii="Arial" w:hAnsi="Arial" w:cs="Arial"/>
          <w:sz w:val="22"/>
          <w:szCs w:val="22"/>
        </w:rPr>
        <w:t xml:space="preserve"> o Poder Executivo suplementar no Orçamento em curso LOA/2022, aprovado pela Lei nº 1.256/2021, bem como, incluir </w:t>
      </w:r>
      <w:r w:rsidRPr="006A213A">
        <w:rPr>
          <w:rFonts w:ascii="Arial" w:hAnsi="Arial" w:cs="Arial"/>
          <w:bCs/>
          <w:sz w:val="22"/>
          <w:szCs w:val="22"/>
        </w:rPr>
        <w:t xml:space="preserve">na LDO/2021, </w:t>
      </w:r>
      <w:r w:rsidRPr="006A213A">
        <w:rPr>
          <w:rFonts w:ascii="Arial" w:hAnsi="Arial" w:cs="Arial"/>
          <w:sz w:val="22"/>
          <w:szCs w:val="22"/>
        </w:rPr>
        <w:t xml:space="preserve">sancionada pela Lei Municipal nº 1.246/2021, ainda, incluir na revisão do PPA 2022-2025, sancionado pela Lei nº 1.232/2021, o valor total de </w:t>
      </w:r>
      <w:r w:rsidRPr="006A213A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1"/>
      <w:r w:rsidRPr="006A213A">
        <w:rPr>
          <w:rFonts w:ascii="Arial" w:hAnsi="Arial" w:cs="Arial"/>
          <w:color w:val="000000" w:themeColor="text1"/>
          <w:sz w:val="22"/>
          <w:szCs w:val="22"/>
        </w:rPr>
        <w:t>1.244.026,61 (um milhão, duzentos e quarenta e quatro mil, vinte e seis reais e sessenta e um centavos), pelo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A213A">
        <w:rPr>
          <w:rFonts w:ascii="Arial" w:hAnsi="Arial" w:cs="Arial"/>
          <w:sz w:val="22"/>
          <w:szCs w:val="22"/>
        </w:rPr>
        <w:t>Superávit Financeiro de recursos ordinários de impostos não vinculados, apurado no Balanço Patrimonial do exercício anterior</w:t>
      </w:r>
      <w:r w:rsidRPr="006A213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24D7B" w:rsidRPr="00753DDD" w:rsidRDefault="00824D7B" w:rsidP="00824D7B">
      <w:pPr>
        <w:jc w:val="both"/>
        <w:rPr>
          <w:rFonts w:ascii="Arial" w:hAnsi="Arial" w:cs="Arial"/>
          <w:sz w:val="22"/>
          <w:szCs w:val="22"/>
        </w:rPr>
      </w:pPr>
    </w:p>
    <w:p w:rsidR="00824D7B" w:rsidRPr="00580C0D" w:rsidRDefault="00824D7B" w:rsidP="00824D7B">
      <w:pPr>
        <w:jc w:val="both"/>
        <w:rPr>
          <w:rFonts w:ascii="Arial" w:hAnsi="Arial" w:cs="Arial"/>
          <w:sz w:val="22"/>
          <w:szCs w:val="22"/>
        </w:rPr>
      </w:pPr>
      <w:bookmarkStart w:id="2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suplementar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ora autorizado atende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</w:t>
      </w:r>
      <w:r>
        <w:rPr>
          <w:rFonts w:ascii="Arial" w:hAnsi="Arial" w:cs="Arial"/>
          <w:sz w:val="22"/>
          <w:szCs w:val="22"/>
        </w:rPr>
        <w:t>á reforçada</w:t>
      </w:r>
      <w:r w:rsidRPr="00753DD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seguinte </w:t>
      </w:r>
      <w:r w:rsidRPr="00753DDD">
        <w:rPr>
          <w:rFonts w:ascii="Arial" w:hAnsi="Arial" w:cs="Arial"/>
          <w:sz w:val="22"/>
          <w:szCs w:val="22"/>
        </w:rPr>
        <w:t>funciona</w:t>
      </w:r>
      <w:r>
        <w:rPr>
          <w:rFonts w:ascii="Arial" w:hAnsi="Arial" w:cs="Arial"/>
          <w:sz w:val="22"/>
          <w:szCs w:val="22"/>
        </w:rPr>
        <w:t>l</w:t>
      </w:r>
      <w:r w:rsidRPr="00753DDD">
        <w:rPr>
          <w:rFonts w:ascii="Arial" w:hAnsi="Arial" w:cs="Arial"/>
          <w:sz w:val="22"/>
          <w:szCs w:val="22"/>
        </w:rPr>
        <w:t xml:space="preserve"> programática:</w:t>
      </w:r>
      <w:bookmarkEnd w:id="2"/>
    </w:p>
    <w:p w:rsidR="00824D7B" w:rsidRPr="00580C0D" w:rsidRDefault="00824D7B" w:rsidP="00824D7B">
      <w:pPr>
        <w:jc w:val="both"/>
        <w:rPr>
          <w:rFonts w:ascii="Arial" w:hAnsi="Arial" w:cs="Arial"/>
          <w:b/>
          <w:sz w:val="22"/>
          <w:szCs w:val="22"/>
        </w:rPr>
      </w:pP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10 </w:t>
      </w:r>
      <w:r>
        <w:rPr>
          <w:rFonts w:ascii="Arial" w:hAnsi="Arial" w:cs="Arial"/>
          <w:color w:val="222222"/>
          <w:sz w:val="22"/>
          <w:szCs w:val="22"/>
        </w:rPr>
        <w:t>–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SECRETARIAS</w:t>
      </w:r>
      <w:r>
        <w:rPr>
          <w:rFonts w:ascii="Arial" w:hAnsi="Arial" w:cs="Arial"/>
          <w:color w:val="222222"/>
          <w:sz w:val="22"/>
          <w:szCs w:val="22"/>
        </w:rPr>
        <w:t xml:space="preserve"> MUNCIPAL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DE URBANISMO</w:t>
      </w: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02 – ADMINISTRAÇÕES DE SERVICOS URBANOS</w:t>
      </w: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15 - Urbanismo</w:t>
      </w: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451 – Infra</w:t>
      </w:r>
      <w:r w:rsidRPr="00580C0D">
        <w:rPr>
          <w:rFonts w:ascii="Arial" w:hAnsi="Arial" w:cs="Arial"/>
          <w:color w:val="222222"/>
          <w:sz w:val="22"/>
          <w:szCs w:val="22"/>
        </w:rPr>
        <w:t>e</w:t>
      </w:r>
      <w:r w:rsidRPr="00C62501">
        <w:rPr>
          <w:rFonts w:ascii="Arial" w:hAnsi="Arial" w:cs="Arial"/>
          <w:color w:val="222222"/>
          <w:sz w:val="22"/>
          <w:szCs w:val="22"/>
        </w:rPr>
        <w:t>strutura Urbana</w:t>
      </w: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0021 – Infraestrutura: Promoção do desenvolvimento</w:t>
      </w:r>
    </w:p>
    <w:p w:rsidR="00824D7B" w:rsidRPr="00580C0D" w:rsidRDefault="00824D7B" w:rsidP="00824D7B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</w:t>
      </w:r>
      <w:r w:rsidRPr="00580C0D">
        <w:rPr>
          <w:rFonts w:ascii="Arial" w:hAnsi="Arial" w:cs="Arial"/>
          <w:color w:val="222222"/>
          <w:sz w:val="22"/>
          <w:szCs w:val="22"/>
        </w:rPr>
        <w:t>.</w:t>
      </w:r>
      <w:r w:rsidRPr="00C62501">
        <w:rPr>
          <w:rFonts w:ascii="Arial" w:hAnsi="Arial" w:cs="Arial"/>
          <w:color w:val="222222"/>
          <w:sz w:val="22"/>
          <w:szCs w:val="22"/>
        </w:rPr>
        <w:t>113 – Pavimentação Asfáltica Urbana e Galerias Pluviais</w:t>
      </w:r>
    </w:p>
    <w:p w:rsidR="00824D7B" w:rsidRPr="00C62501" w:rsidRDefault="00824D7B" w:rsidP="00824D7B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580C0D">
        <w:rPr>
          <w:rFonts w:ascii="Arial" w:hAnsi="Arial" w:cs="Arial"/>
          <w:b/>
          <w:color w:val="222222"/>
          <w:sz w:val="22"/>
          <w:szCs w:val="22"/>
        </w:rPr>
        <w:t>4490-51 – Obras e Instalações</w:t>
      </w:r>
    </w:p>
    <w:p w:rsidR="00824D7B" w:rsidRPr="00580C0D" w:rsidRDefault="00824D7B" w:rsidP="00824D7B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824D7B" w:rsidRPr="000D30E9" w:rsidRDefault="00824D7B" w:rsidP="00824D7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D30E9">
        <w:rPr>
          <w:rFonts w:ascii="Arial" w:hAnsi="Arial" w:cs="Arial"/>
          <w:b/>
          <w:bCs/>
          <w:sz w:val="20"/>
          <w:szCs w:val="20"/>
        </w:rPr>
        <w:t xml:space="preserve">Fonte de Recurso: </w:t>
      </w:r>
      <w:r>
        <w:rPr>
          <w:rFonts w:ascii="Arial" w:hAnsi="Arial" w:cs="Arial"/>
          <w:color w:val="000000" w:themeColor="text1"/>
          <w:sz w:val="20"/>
          <w:szCs w:val="20"/>
        </w:rPr>
        <w:t>2.500.000</w:t>
      </w:r>
      <w:r w:rsidRPr="000D30E9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sz w:val="22"/>
          <w:szCs w:val="22"/>
        </w:rPr>
        <w:t>R</w:t>
      </w:r>
      <w:r w:rsidRPr="006A213A">
        <w:rPr>
          <w:rFonts w:ascii="Arial" w:hAnsi="Arial" w:cs="Arial"/>
          <w:sz w:val="22"/>
          <w:szCs w:val="22"/>
        </w:rPr>
        <w:t>ecursos ordinários de impostos não vinculados</w:t>
      </w:r>
    </w:p>
    <w:p w:rsidR="00824D7B" w:rsidRPr="00580C0D" w:rsidRDefault="00824D7B" w:rsidP="00824D7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 xml:space="preserve">Meta Financeira: </w:t>
      </w:r>
      <w:r w:rsidRPr="00580C0D">
        <w:rPr>
          <w:rFonts w:ascii="Arial" w:hAnsi="Arial" w:cs="Arial"/>
          <w:bCs/>
          <w:sz w:val="20"/>
          <w:szCs w:val="20"/>
        </w:rPr>
        <w:t>R$</w:t>
      </w:r>
      <w:r w:rsidRPr="000D30E9">
        <w:rPr>
          <w:rFonts w:ascii="Arial" w:hAnsi="Arial" w:cs="Arial"/>
          <w:color w:val="000000" w:themeColor="text1"/>
          <w:sz w:val="20"/>
          <w:szCs w:val="20"/>
        </w:rPr>
        <w:t>1.244.026,61</w:t>
      </w:r>
      <w:r w:rsidRPr="00580C0D">
        <w:rPr>
          <w:rFonts w:ascii="Arial" w:hAnsi="Arial" w:cs="Arial"/>
          <w:bCs/>
          <w:sz w:val="20"/>
          <w:szCs w:val="20"/>
        </w:rPr>
        <w:t xml:space="preserve"> oriundos</w:t>
      </w:r>
      <w:r>
        <w:rPr>
          <w:rFonts w:ascii="Arial" w:hAnsi="Arial" w:cs="Arial"/>
          <w:bCs/>
          <w:sz w:val="20"/>
          <w:szCs w:val="20"/>
        </w:rPr>
        <w:t xml:space="preserve"> de </w:t>
      </w:r>
      <w:r w:rsidRPr="00580C0D">
        <w:rPr>
          <w:rFonts w:ascii="Arial" w:hAnsi="Arial" w:cs="Arial"/>
          <w:bCs/>
          <w:sz w:val="20"/>
          <w:szCs w:val="20"/>
        </w:rPr>
        <w:t xml:space="preserve">recursos próprios. </w:t>
      </w:r>
    </w:p>
    <w:p w:rsidR="00824D7B" w:rsidRPr="00580C0D" w:rsidRDefault="00824D7B" w:rsidP="00824D7B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 xml:space="preserve">Meta Física: </w:t>
      </w:r>
      <w:r w:rsidRPr="00580C0D">
        <w:rPr>
          <w:rFonts w:ascii="Arial" w:hAnsi="Arial" w:cs="Arial"/>
          <w:sz w:val="20"/>
          <w:szCs w:val="20"/>
        </w:rPr>
        <w:t xml:space="preserve">Pavimentação Asfáltica e Drenagem de águas pluviais em </w:t>
      </w:r>
      <w:r>
        <w:rPr>
          <w:rFonts w:ascii="Arial" w:hAnsi="Arial" w:cs="Arial"/>
          <w:sz w:val="20"/>
          <w:szCs w:val="20"/>
        </w:rPr>
        <w:t>6.826,92</w:t>
      </w:r>
      <w:r w:rsidRPr="00580C0D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>.</w:t>
      </w:r>
    </w:p>
    <w:p w:rsidR="00824D7B" w:rsidRDefault="00824D7B" w:rsidP="00824D7B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24D7B" w:rsidRPr="00753DDD" w:rsidRDefault="00824D7B" w:rsidP="00824D7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publicação, revogadas as disposições em contrário.</w:t>
      </w:r>
      <w:bookmarkEnd w:id="3"/>
    </w:p>
    <w:p w:rsidR="00824D7B" w:rsidRPr="00753DDD" w:rsidRDefault="00824D7B" w:rsidP="00824D7B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de fevereiro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de 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24D7B" w:rsidRDefault="00824D7B" w:rsidP="00824D7B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24D7B" w:rsidRPr="00753DDD" w:rsidRDefault="00824D7B" w:rsidP="00824D7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E73757" w:rsidRPr="00824D7B" w:rsidRDefault="00824D7B" w:rsidP="00824D7B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E73757" w:rsidRPr="00824D7B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824D7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824D7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824D7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824D7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824D7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824D7B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824D7B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D7B"/>
    <w:rsid w:val="00824D7B"/>
    <w:rsid w:val="00E7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24D7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824D7B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24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4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24D7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824D7B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824D7B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2022-02-07T17:17:00Z</dcterms:created>
  <dcterms:modified xsi:type="dcterms:W3CDTF">2022-02-07T17:23:00Z</dcterms:modified>
</cp:coreProperties>
</file>